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F" w:rsidRDefault="002C21EF" w:rsidP="002C21EF">
      <w:pPr>
        <w:tabs>
          <w:tab w:val="left" w:pos="7524"/>
        </w:tabs>
        <w:spacing w:line="240" w:lineRule="exact"/>
        <w:jc w:val="center"/>
        <w:rPr>
          <w:rFonts w:ascii="Times New Roman" w:hAnsi="Times New Roman" w:cs="Times New Roman"/>
        </w:rPr>
      </w:pPr>
      <w:r w:rsidRPr="002C21EF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внесения изменений в местные нормативы градостроительного проектирования</w:t>
      </w:r>
    </w:p>
    <w:p w:rsidR="002C21EF" w:rsidRDefault="002C21EF" w:rsidP="002C21EF">
      <w:pPr>
        <w:tabs>
          <w:tab w:val="left" w:pos="7524"/>
        </w:tabs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57DB5">
        <w:rPr>
          <w:rFonts w:ascii="Times New Roman" w:hAnsi="Times New Roman" w:cs="Times New Roman"/>
        </w:rPr>
        <w:t xml:space="preserve">Бунбуйского </w:t>
      </w:r>
      <w:r>
        <w:rPr>
          <w:rFonts w:ascii="Times New Roman" w:hAnsi="Times New Roman" w:cs="Times New Roman"/>
        </w:rPr>
        <w:t xml:space="preserve">муниципального образования, утвержденные решением Думы </w:t>
      </w:r>
    </w:p>
    <w:p w:rsidR="002C21EF" w:rsidRPr="002C21EF" w:rsidRDefault="002C21EF" w:rsidP="002C21EF">
      <w:pPr>
        <w:tabs>
          <w:tab w:val="left" w:pos="7524"/>
        </w:tabs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57DB5">
        <w:rPr>
          <w:rFonts w:ascii="Times New Roman" w:hAnsi="Times New Roman" w:cs="Times New Roman"/>
        </w:rPr>
        <w:t xml:space="preserve">Бунбуйского </w:t>
      </w:r>
      <w:r>
        <w:rPr>
          <w:rFonts w:ascii="Times New Roman" w:hAnsi="Times New Roman" w:cs="Times New Roman"/>
        </w:rPr>
        <w:t xml:space="preserve">муниципального образования от </w:t>
      </w:r>
      <w:r w:rsidR="00757DB5">
        <w:rPr>
          <w:rFonts w:ascii="Times New Roman" w:hAnsi="Times New Roman" w:cs="Times New Roman"/>
        </w:rPr>
        <w:t xml:space="preserve">30.12.2015 </w:t>
      </w:r>
      <w:r>
        <w:rPr>
          <w:rFonts w:ascii="Times New Roman" w:hAnsi="Times New Roman" w:cs="Times New Roman"/>
        </w:rPr>
        <w:t>№_</w:t>
      </w:r>
      <w:r w:rsidR="00757DB5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>_</w:t>
      </w:r>
    </w:p>
    <w:p w:rsidR="004C682F" w:rsidRPr="002C21EF" w:rsidRDefault="004C682F">
      <w:pPr>
        <w:spacing w:line="240" w:lineRule="exact"/>
        <w:rPr>
          <w:rFonts w:ascii="Times New Roman" w:hAnsi="Times New Roman" w:cs="Times New Roman"/>
        </w:rPr>
      </w:pPr>
    </w:p>
    <w:p w:rsidR="004C682F" w:rsidRDefault="004C682F">
      <w:pPr>
        <w:spacing w:line="240" w:lineRule="exact"/>
        <w:rPr>
          <w:sz w:val="19"/>
          <w:szCs w:val="19"/>
        </w:rPr>
      </w:pPr>
    </w:p>
    <w:p w:rsidR="004C682F" w:rsidRDefault="006A2622" w:rsidP="00757DB5">
      <w:pPr>
        <w:tabs>
          <w:tab w:val="left" w:pos="7524"/>
        </w:tabs>
        <w:spacing w:line="240" w:lineRule="exact"/>
        <w:rPr>
          <w:rStyle w:val="24"/>
          <w:rFonts w:eastAsia="Tahoma"/>
        </w:rPr>
      </w:pPr>
      <w:r>
        <w:rPr>
          <w:rStyle w:val="24"/>
          <w:rFonts w:eastAsia="Tahoma"/>
        </w:rPr>
        <w:t xml:space="preserve">Внести в местные нормативы градостроительного </w:t>
      </w:r>
      <w:r w:rsidR="002C21EF">
        <w:rPr>
          <w:rStyle w:val="24"/>
          <w:rFonts w:eastAsia="Tahoma"/>
        </w:rPr>
        <w:t xml:space="preserve">проектирования </w:t>
      </w:r>
      <w:r w:rsidR="00757DB5">
        <w:rPr>
          <w:rStyle w:val="24"/>
          <w:rFonts w:eastAsia="Tahoma"/>
        </w:rPr>
        <w:t>Бунбуйского</w:t>
      </w:r>
      <w:r w:rsidR="002C21EF">
        <w:rPr>
          <w:rStyle w:val="24"/>
          <w:rFonts w:eastAsia="Tahoma"/>
        </w:rPr>
        <w:t xml:space="preserve"> муниципального образования</w:t>
      </w:r>
      <w:r>
        <w:rPr>
          <w:rStyle w:val="24"/>
          <w:rFonts w:eastAsia="Tahoma"/>
        </w:rPr>
        <w:t>, утвержденные решением Ду</w:t>
      </w:r>
      <w:r w:rsidR="002C21EF">
        <w:rPr>
          <w:rStyle w:val="24"/>
          <w:rFonts w:eastAsia="Tahoma"/>
        </w:rPr>
        <w:t xml:space="preserve">мы </w:t>
      </w:r>
      <w:r w:rsidR="00757DB5">
        <w:rPr>
          <w:rFonts w:ascii="Times New Roman" w:hAnsi="Times New Roman" w:cs="Times New Roman"/>
        </w:rPr>
        <w:t>Бунбуйского муниципального образования от 30.12.2015 №_94_</w:t>
      </w:r>
      <w:r w:rsidR="00757DB5">
        <w:rPr>
          <w:rStyle w:val="24"/>
          <w:rFonts w:eastAsia="Tahoma"/>
        </w:rPr>
        <w:t xml:space="preserve"> </w:t>
      </w:r>
      <w:r w:rsidR="002C21EF">
        <w:rPr>
          <w:rStyle w:val="24"/>
          <w:rFonts w:eastAsia="Tahoma"/>
        </w:rPr>
        <w:t>(далее - МНГП</w:t>
      </w:r>
      <w:r>
        <w:rPr>
          <w:rStyle w:val="24"/>
          <w:rFonts w:eastAsia="Tahoma"/>
        </w:rPr>
        <w:t>), следующие изменения:</w:t>
      </w:r>
    </w:p>
    <w:p w:rsidR="001A2982" w:rsidRDefault="001A2982" w:rsidP="002C21EF">
      <w:pPr>
        <w:tabs>
          <w:tab w:val="left" w:pos="851"/>
        </w:tabs>
        <w:spacing w:line="240" w:lineRule="exact"/>
        <w:ind w:right="233"/>
      </w:pPr>
    </w:p>
    <w:p w:rsidR="003A71B9" w:rsidRPr="00757DB5" w:rsidRDefault="008F6B72" w:rsidP="003A71B9">
      <w:pPr>
        <w:pStyle w:val="23"/>
        <w:numPr>
          <w:ilvl w:val="0"/>
          <w:numId w:val="3"/>
        </w:numPr>
        <w:shd w:val="clear" w:color="auto" w:fill="auto"/>
        <w:tabs>
          <w:tab w:val="left" w:pos="1039"/>
        </w:tabs>
        <w:spacing w:before="0"/>
        <w:ind w:right="560"/>
        <w:rPr>
          <w:rStyle w:val="24"/>
        </w:rPr>
      </w:pPr>
      <w:r w:rsidRPr="00757DB5">
        <w:rPr>
          <w:rStyle w:val="24"/>
        </w:rPr>
        <w:t xml:space="preserve">Том </w:t>
      </w:r>
      <w:r w:rsidRPr="00757DB5">
        <w:rPr>
          <w:rStyle w:val="24"/>
          <w:lang w:val="en-US"/>
        </w:rPr>
        <w:t>I</w:t>
      </w:r>
      <w:r w:rsidRPr="00757DB5">
        <w:rPr>
          <w:rStyle w:val="24"/>
        </w:rPr>
        <w:t xml:space="preserve"> «Основная часть», </w:t>
      </w:r>
      <w:r w:rsidR="007B5A7D" w:rsidRPr="00757DB5">
        <w:rPr>
          <w:rStyle w:val="24"/>
        </w:rPr>
        <w:t>часть</w:t>
      </w:r>
      <w:r w:rsidR="000C4078" w:rsidRPr="00757DB5">
        <w:rPr>
          <w:rStyle w:val="24"/>
          <w:lang w:val="en-US"/>
        </w:rPr>
        <w:t>II</w:t>
      </w:r>
      <w:r w:rsidR="000C4078" w:rsidRPr="00757DB5">
        <w:rPr>
          <w:rStyle w:val="24"/>
        </w:rPr>
        <w:t xml:space="preserve"> «Основная часть</w:t>
      </w:r>
      <w:r w:rsidRPr="00757DB5">
        <w:rPr>
          <w:rStyle w:val="24"/>
        </w:rPr>
        <w:t xml:space="preserve">», </w:t>
      </w:r>
      <w:r w:rsidR="007B5A7D" w:rsidRPr="00757DB5">
        <w:rPr>
          <w:rStyle w:val="24"/>
        </w:rPr>
        <w:t>раздел</w:t>
      </w:r>
      <w:r w:rsidRPr="00757DB5">
        <w:rPr>
          <w:rStyle w:val="24"/>
        </w:rPr>
        <w:t xml:space="preserve"> 2.2 «</w:t>
      </w:r>
      <w:r w:rsidR="003A71B9" w:rsidRPr="00757DB5">
        <w:rPr>
          <w:rStyle w:val="24"/>
        </w:rPr>
        <w:t xml:space="preserve">Расчетные </w:t>
      </w:r>
    </w:p>
    <w:p w:rsidR="004C682F" w:rsidRDefault="008F6B72" w:rsidP="003A71B9">
      <w:pPr>
        <w:pStyle w:val="23"/>
        <w:shd w:val="clear" w:color="auto" w:fill="auto"/>
        <w:tabs>
          <w:tab w:val="left" w:pos="1039"/>
        </w:tabs>
        <w:spacing w:before="0"/>
        <w:ind w:right="560"/>
        <w:rPr>
          <w:rStyle w:val="24"/>
        </w:rPr>
      </w:pPr>
      <w:r w:rsidRPr="00757DB5">
        <w:rPr>
          <w:rStyle w:val="24"/>
        </w:rPr>
        <w:t>показатели в области автомобильных дорог местного значения</w:t>
      </w:r>
      <w:r w:rsidR="00B23604">
        <w:rPr>
          <w:rStyle w:val="24"/>
        </w:rPr>
        <w:t>»</w:t>
      </w:r>
      <w:r w:rsidR="006A2622">
        <w:rPr>
          <w:rStyle w:val="24"/>
        </w:rPr>
        <w:t xml:space="preserve">дополнить </w:t>
      </w:r>
      <w:r w:rsidR="00EB354E">
        <w:rPr>
          <w:rStyle w:val="24"/>
        </w:rPr>
        <w:t>следующими пунктами</w:t>
      </w:r>
      <w:r w:rsidR="006A2622">
        <w:rPr>
          <w:rStyle w:val="24"/>
        </w:rPr>
        <w:t>:</w:t>
      </w: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425"/>
        <w:gridCol w:w="2836"/>
        <w:gridCol w:w="2409"/>
        <w:gridCol w:w="1560"/>
        <w:gridCol w:w="2387"/>
        <w:gridCol w:w="15"/>
      </w:tblGrid>
      <w:tr w:rsidR="003E03BF" w:rsidRPr="00A57DC1" w:rsidTr="00077AB7">
        <w:trPr>
          <w:gridAfter w:val="1"/>
          <w:wAfter w:w="15" w:type="dxa"/>
        </w:trPr>
        <w:tc>
          <w:tcPr>
            <w:tcW w:w="425" w:type="dxa"/>
          </w:tcPr>
          <w:p w:rsidR="003E03BF" w:rsidRDefault="003E03BF" w:rsidP="00C87A4F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836" w:type="dxa"/>
          </w:tcPr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Наименование видов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объектов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местного</w:t>
            </w:r>
          </w:p>
          <w:p w:rsidR="003E03BF" w:rsidRDefault="003E03BF" w:rsidP="003E03BF">
            <w:pPr>
              <w:jc w:val="center"/>
              <w:rPr>
                <w:rFonts w:ascii="Times New Roman" w:eastAsia="Courier New" w:hAnsi="Times New Roman" w:cs="Times New Roman"/>
                <w:b/>
                <w:bCs/>
                <w:shd w:val="clear" w:color="auto" w:fill="FFFFFF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значения</w:t>
            </w:r>
          </w:p>
        </w:tc>
        <w:tc>
          <w:tcPr>
            <w:tcW w:w="2409" w:type="dxa"/>
          </w:tcPr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Расчетные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показатели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минимально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допустимого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уровня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обеспеченности</w:t>
            </w:r>
          </w:p>
          <w:p w:rsidR="003E03BF" w:rsidRDefault="003E03BF" w:rsidP="003E03BF">
            <w:pPr>
              <w:pStyle w:val="23"/>
              <w:shd w:val="clear" w:color="auto" w:fill="auto"/>
              <w:spacing w:before="0"/>
              <w:ind w:left="240" w:right="420"/>
              <w:jc w:val="center"/>
              <w:rPr>
                <w:rStyle w:val="24"/>
              </w:rPr>
            </w:pPr>
            <w:r w:rsidRPr="00A57DC1">
              <w:rPr>
                <w:rFonts w:eastAsia="Courier New"/>
                <w:b/>
                <w:lang w:eastAsia="ru-RU"/>
              </w:rPr>
              <w:t>объектами</w:t>
            </w:r>
          </w:p>
        </w:tc>
        <w:tc>
          <w:tcPr>
            <w:tcW w:w="1560" w:type="dxa"/>
          </w:tcPr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Расчетные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показатели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максимально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допустимого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уровня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территориальной</w:t>
            </w:r>
          </w:p>
          <w:p w:rsidR="003E03BF" w:rsidRPr="00A57DC1" w:rsidRDefault="003E03BF" w:rsidP="003E03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доступности</w:t>
            </w:r>
          </w:p>
          <w:p w:rsidR="003E03BF" w:rsidRDefault="003E03BF" w:rsidP="003E03BF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A57DC1">
              <w:rPr>
                <w:rFonts w:ascii="Times New Roman" w:eastAsia="Courier New" w:hAnsi="Times New Roman" w:cs="Times New Roman"/>
                <w:b/>
                <w:lang w:eastAsia="ru-RU"/>
              </w:rPr>
              <w:t>объектов</w:t>
            </w:r>
          </w:p>
        </w:tc>
        <w:tc>
          <w:tcPr>
            <w:tcW w:w="2387" w:type="dxa"/>
          </w:tcPr>
          <w:p w:rsidR="003E03BF" w:rsidRPr="00A57DC1" w:rsidRDefault="003E03BF" w:rsidP="003E03BF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A57DC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Область применения</w:t>
            </w:r>
          </w:p>
        </w:tc>
      </w:tr>
      <w:tr w:rsidR="003E03BF" w:rsidRPr="00A57DC1" w:rsidTr="00077AB7">
        <w:trPr>
          <w:gridAfter w:val="1"/>
          <w:wAfter w:w="15" w:type="dxa"/>
        </w:trPr>
        <w:tc>
          <w:tcPr>
            <w:tcW w:w="425" w:type="dxa"/>
          </w:tcPr>
          <w:p w:rsidR="003E03BF" w:rsidRPr="00A57DC1" w:rsidRDefault="003E03BF" w:rsidP="00C87A4F">
            <w:pPr>
              <w:widowControl w:val="0"/>
              <w:rPr>
                <w:rFonts w:ascii="Courier New" w:eastAsia="Courier New" w:hAnsi="Courier New" w:cs="Courier New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4</w:t>
            </w:r>
          </w:p>
        </w:tc>
        <w:tc>
          <w:tcPr>
            <w:tcW w:w="2836" w:type="dxa"/>
          </w:tcPr>
          <w:p w:rsidR="003E03BF" w:rsidRPr="00A57DC1" w:rsidRDefault="003E03BF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Велосипедная дорожка</w:t>
            </w:r>
            <w:r>
              <w:rPr>
                <w:rStyle w:val="24"/>
                <w:rFonts w:eastAsiaTheme="minorHAnsi"/>
              </w:rPr>
      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      </w:r>
          </w:p>
        </w:tc>
        <w:tc>
          <w:tcPr>
            <w:tcW w:w="2409" w:type="dxa"/>
            <w:vMerge w:val="restart"/>
          </w:tcPr>
          <w:p w:rsidR="003E03BF" w:rsidRPr="00A57DC1" w:rsidRDefault="00077AB7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обеспеченности велосипедными дорожками не установлен Региональными нормативами градостроительного проектирования, утвержденными Постановлением Правительства Иркутской области от 30.12.2014 г.                     № 712-пп, предлагается установить справочный показатель, исходя из численности населенных пунктов, в соответствии с таблицей 1.1., который будет действовать до момента установления в Региональных нормативах градостроительного проектирования.</w:t>
            </w:r>
          </w:p>
        </w:tc>
        <w:tc>
          <w:tcPr>
            <w:tcW w:w="1560" w:type="dxa"/>
            <w:vMerge w:val="restart"/>
          </w:tcPr>
          <w:p w:rsidR="003E03BF" w:rsidRPr="00A57DC1" w:rsidRDefault="003E03BF" w:rsidP="003E03B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Не нормируется</w:t>
            </w:r>
          </w:p>
        </w:tc>
        <w:tc>
          <w:tcPr>
            <w:tcW w:w="2387" w:type="dxa"/>
            <w:vMerge w:val="restart"/>
          </w:tcPr>
          <w:p w:rsidR="003E03BF" w:rsidRDefault="003E03BF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A57DC1">
              <w:rPr>
                <w:rFonts w:ascii="Times New Roman" w:eastAsia="Courier New" w:hAnsi="Times New Roman" w:cs="Times New Roman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. </w:t>
            </w:r>
          </w:p>
          <w:p w:rsidR="003E03BF" w:rsidRPr="00A57DC1" w:rsidRDefault="003E03BF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значения.</w:t>
            </w:r>
          </w:p>
          <w:p w:rsidR="003E03BF" w:rsidRPr="00A57DC1" w:rsidRDefault="003E03BF" w:rsidP="003E03BF">
            <w:pPr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3E03BF" w:rsidRPr="00A57DC1" w:rsidTr="00077AB7">
        <w:trPr>
          <w:gridAfter w:val="1"/>
          <w:wAfter w:w="15" w:type="dxa"/>
        </w:trPr>
        <w:tc>
          <w:tcPr>
            <w:tcW w:w="425" w:type="dxa"/>
          </w:tcPr>
          <w:p w:rsidR="003E03BF" w:rsidRPr="00A57DC1" w:rsidRDefault="003E03BF" w:rsidP="00C87A4F">
            <w:pPr>
              <w:widowControl w:val="0"/>
              <w:rPr>
                <w:rFonts w:ascii="Courier New" w:eastAsia="Courier New" w:hAnsi="Courier New" w:cs="Courier New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5</w:t>
            </w:r>
          </w:p>
        </w:tc>
        <w:tc>
          <w:tcPr>
            <w:tcW w:w="2836" w:type="dxa"/>
          </w:tcPr>
          <w:p w:rsidR="003E03BF" w:rsidRDefault="003E03BF" w:rsidP="007E73CE">
            <w:pPr>
              <w:pStyle w:val="23"/>
              <w:shd w:val="clear" w:color="auto" w:fill="auto"/>
              <w:spacing w:before="0"/>
              <w:ind w:right="-34"/>
            </w:pPr>
            <w:r>
              <w:rPr>
                <w:rStyle w:val="25"/>
              </w:rPr>
              <w:t xml:space="preserve">Полоса для велосипедистов </w:t>
            </w:r>
            <w:r>
              <w:rPr>
                <w:rStyle w:val="24"/>
              </w:rPr>
              <w:t>- велосипедная дорожка, расположенная на проезжей части автомобильной дороги, отделяющая велосипедистов техническими</w:t>
            </w:r>
          </w:p>
          <w:p w:rsidR="003E03BF" w:rsidRDefault="003E03BF" w:rsidP="007E73CE">
            <w:pPr>
              <w:pStyle w:val="23"/>
              <w:shd w:val="clear" w:color="auto" w:fill="auto"/>
              <w:tabs>
                <w:tab w:val="left" w:pos="0"/>
              </w:tabs>
              <w:spacing w:before="0"/>
            </w:pPr>
            <w:r>
              <w:rPr>
                <w:rStyle w:val="24"/>
              </w:rPr>
              <w:t>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      </w:r>
          </w:p>
          <w:p w:rsidR="003E03BF" w:rsidRPr="00A57DC1" w:rsidRDefault="003E03BF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3E03BF" w:rsidRPr="00A57DC1" w:rsidRDefault="003E03BF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E03BF" w:rsidRPr="00A57DC1" w:rsidRDefault="003E03BF" w:rsidP="00272456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2387" w:type="dxa"/>
            <w:vMerge/>
          </w:tcPr>
          <w:p w:rsidR="003E03BF" w:rsidRPr="00A57DC1" w:rsidRDefault="003E03BF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7E73CE" w:rsidRPr="00A57DC1" w:rsidTr="003E03BF">
        <w:tc>
          <w:tcPr>
            <w:tcW w:w="425" w:type="dxa"/>
          </w:tcPr>
          <w:p w:rsidR="007E73CE" w:rsidRPr="00A57DC1" w:rsidRDefault="007E73CE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207" w:type="dxa"/>
            <w:gridSpan w:val="5"/>
            <w:tcBorders>
              <w:right w:val="single" w:sz="4" w:space="0" w:color="auto"/>
            </w:tcBorders>
          </w:tcPr>
          <w:p w:rsidR="007E73CE" w:rsidRPr="00011D7E" w:rsidRDefault="007E73CE" w:rsidP="00C87A4F">
            <w:pPr>
              <w:widowControl w:val="0"/>
              <w:spacing w:line="32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Правила применения</w:t>
            </w:r>
          </w:p>
          <w:p w:rsidR="007E73CE" w:rsidRDefault="00652812" w:rsidP="00C87A4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Система объектов инфраструктуры велосипедного транспорта за границами сельских населенных пунктов в зависимости от статуса населенного пункта, особенностей прилегающих территорий включает велосипедные дорожки и проектируется вдоль автомобильных дорог общего пользования:</w:t>
            </w:r>
          </w:p>
          <w:p w:rsidR="00652812" w:rsidRDefault="00652812" w:rsidP="00C87A4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на подходах к населенным пунктам;</w:t>
            </w:r>
          </w:p>
          <w:p w:rsidR="00652812" w:rsidRDefault="00652812" w:rsidP="00C87A4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 местам отдыха;</w:t>
            </w:r>
          </w:p>
          <w:p w:rsidR="00652812" w:rsidRDefault="00652812" w:rsidP="00C87A4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на туристических маршрутах; </w:t>
            </w:r>
          </w:p>
          <w:p w:rsidR="00652812" w:rsidRDefault="00652812" w:rsidP="00C87A4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 местам приложения труда.</w:t>
            </w:r>
          </w:p>
          <w:p w:rsidR="00652812" w:rsidRDefault="005F0B1F" w:rsidP="00C87A4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Велосипедные дорожки на подходах к населенным пунктам должны присоединяться к системе велотранспортной инфраструктуры населенных пунктов в целях обеспечения</w:t>
            </w:r>
            <w:r w:rsidR="00E60444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непрерывности велосипедного движения. Допустимо обустройство велопешеходных дорожек.</w:t>
            </w:r>
          </w:p>
          <w:p w:rsidR="00E60444" w:rsidRDefault="00E60444" w:rsidP="00C87A4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велосипедных дорожек в границах полосы отвода автомобильной дороги должно осуществляется в соответствии с действующими строительными нормами и правилами, документацией по планировке территории и согласовываться с местными органами управления.</w:t>
            </w:r>
          </w:p>
          <w:p w:rsidR="001A2982" w:rsidRPr="00A57DC1" w:rsidRDefault="001A2982" w:rsidP="00C87A4F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</w:tbl>
    <w:p w:rsidR="001A2982" w:rsidRDefault="001A2982" w:rsidP="00496191">
      <w:pPr>
        <w:autoSpaceDE w:val="0"/>
        <w:spacing w:line="276" w:lineRule="auto"/>
        <w:ind w:left="680"/>
        <w:jc w:val="both"/>
        <w:rPr>
          <w:rFonts w:ascii="Times New Roman" w:eastAsia="TimesNewRomanPSMT" w:hAnsi="Times New Roman" w:cs="Times New Roman"/>
        </w:rPr>
      </w:pPr>
    </w:p>
    <w:p w:rsidR="0083199A" w:rsidRDefault="0083199A" w:rsidP="001D024A">
      <w:pPr>
        <w:tabs>
          <w:tab w:val="left" w:pos="7860"/>
        </w:tabs>
        <w:autoSpaceDE w:val="0"/>
        <w:spacing w:line="276" w:lineRule="auto"/>
        <w:ind w:left="680"/>
        <w:jc w:val="both"/>
        <w:rPr>
          <w:rFonts w:ascii="Times New Roman" w:eastAsia="TimesNewRomanPSMT" w:hAnsi="Times New Roman" w:cs="Times New Roman"/>
        </w:rPr>
      </w:pPr>
    </w:p>
    <w:p w:rsidR="001A2982" w:rsidRDefault="001D024A" w:rsidP="001D024A">
      <w:pPr>
        <w:tabs>
          <w:tab w:val="left" w:pos="7860"/>
        </w:tabs>
        <w:autoSpaceDE w:val="0"/>
        <w:spacing w:line="276" w:lineRule="auto"/>
        <w:ind w:left="68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ab/>
        <w:t>Таблица 1.1</w:t>
      </w:r>
    </w:p>
    <w:tbl>
      <w:tblPr>
        <w:tblStyle w:val="a7"/>
        <w:tblW w:w="0" w:type="auto"/>
        <w:tblInd w:w="-5" w:type="dxa"/>
        <w:tblLook w:val="04A0"/>
      </w:tblPr>
      <w:tblGrid>
        <w:gridCol w:w="3284"/>
        <w:gridCol w:w="1985"/>
        <w:gridCol w:w="4055"/>
      </w:tblGrid>
      <w:tr w:rsidR="00077AB7" w:rsidTr="0083199A">
        <w:tc>
          <w:tcPr>
            <w:tcW w:w="3284" w:type="dxa"/>
          </w:tcPr>
          <w:p w:rsidR="00077AB7" w:rsidRDefault="00077AB7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</w:tcPr>
          <w:p w:rsidR="00077AB7" w:rsidRDefault="00077AB7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Минимальная протяженность велодорожек, км</w:t>
            </w:r>
          </w:p>
        </w:tc>
        <w:tc>
          <w:tcPr>
            <w:tcW w:w="4055" w:type="dxa"/>
          </w:tcPr>
          <w:p w:rsidR="00077AB7" w:rsidRDefault="00077AB7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Целевое назначение</w:t>
            </w:r>
          </w:p>
        </w:tc>
      </w:tr>
      <w:tr w:rsidR="00077AB7" w:rsidTr="0083199A">
        <w:tc>
          <w:tcPr>
            <w:tcW w:w="3284" w:type="dxa"/>
          </w:tcPr>
          <w:p w:rsidR="00077AB7" w:rsidRDefault="001D024A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500-1000</w:t>
            </w:r>
          </w:p>
        </w:tc>
        <w:tc>
          <w:tcPr>
            <w:tcW w:w="1985" w:type="dxa"/>
          </w:tcPr>
          <w:p w:rsidR="00077AB7" w:rsidRDefault="001D024A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4055" w:type="dxa"/>
            <w:vMerge w:val="restart"/>
          </w:tcPr>
          <w:p w:rsidR="001D024A" w:rsidRDefault="00077AB7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</w:t>
            </w:r>
            <w:r w:rsidR="001D024A">
              <w:rPr>
                <w:rFonts w:ascii="Times New Roman" w:eastAsia="TimesNewRomanPSMT" w:hAnsi="Times New Roman" w:cs="Times New Roman"/>
              </w:rPr>
              <w:t>ля</w:t>
            </w:r>
            <w:r>
              <w:rPr>
                <w:rFonts w:ascii="Times New Roman" w:eastAsia="TimesNewRomanPSMT" w:hAnsi="Times New Roman" w:cs="Times New Roman"/>
              </w:rPr>
              <w:t xml:space="preserve">спортивно-оздоровительных поездок. </w:t>
            </w:r>
          </w:p>
          <w:p w:rsidR="00077AB7" w:rsidRDefault="00077AB7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Для поездок на работу.</w:t>
            </w:r>
          </w:p>
        </w:tc>
      </w:tr>
      <w:tr w:rsidR="00077AB7" w:rsidTr="0083199A">
        <w:tc>
          <w:tcPr>
            <w:tcW w:w="3284" w:type="dxa"/>
          </w:tcPr>
          <w:p w:rsidR="00077AB7" w:rsidRDefault="001D024A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1000-2000</w:t>
            </w:r>
          </w:p>
        </w:tc>
        <w:tc>
          <w:tcPr>
            <w:tcW w:w="1985" w:type="dxa"/>
          </w:tcPr>
          <w:p w:rsidR="00077AB7" w:rsidRDefault="001D024A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4055" w:type="dxa"/>
            <w:vMerge/>
          </w:tcPr>
          <w:p w:rsidR="00077AB7" w:rsidRDefault="00077AB7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077AB7" w:rsidTr="0083199A">
        <w:tc>
          <w:tcPr>
            <w:tcW w:w="3284" w:type="dxa"/>
          </w:tcPr>
          <w:p w:rsidR="00077AB7" w:rsidRDefault="001D024A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2000-5000</w:t>
            </w:r>
          </w:p>
        </w:tc>
        <w:tc>
          <w:tcPr>
            <w:tcW w:w="1985" w:type="dxa"/>
          </w:tcPr>
          <w:p w:rsidR="00077AB7" w:rsidRDefault="0083199A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4055" w:type="dxa"/>
            <w:vMerge/>
          </w:tcPr>
          <w:p w:rsidR="00077AB7" w:rsidRDefault="00077AB7" w:rsidP="00496191">
            <w:pPr>
              <w:autoSpaceDE w:val="0"/>
              <w:spacing w:line="276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A2982" w:rsidRDefault="001A2982" w:rsidP="0083199A">
      <w:pPr>
        <w:autoSpaceDE w:val="0"/>
        <w:spacing w:line="276" w:lineRule="auto"/>
        <w:jc w:val="both"/>
        <w:rPr>
          <w:rFonts w:ascii="Times New Roman" w:eastAsia="TimesNewRomanPSMT" w:hAnsi="Times New Roman" w:cs="Times New Roman"/>
        </w:rPr>
      </w:pPr>
    </w:p>
    <w:p w:rsidR="00496191" w:rsidRPr="00496191" w:rsidRDefault="00496191" w:rsidP="001A2982">
      <w:pPr>
        <w:autoSpaceDE w:val="0"/>
        <w:spacing w:line="276" w:lineRule="auto"/>
        <w:ind w:left="680"/>
        <w:jc w:val="center"/>
        <w:rPr>
          <w:rFonts w:ascii="Times New Roman" w:eastAsia="TimesNewRomanPSMT" w:hAnsi="Times New Roman" w:cs="Times New Roman"/>
        </w:rPr>
      </w:pPr>
      <w:r w:rsidRPr="00496191">
        <w:rPr>
          <w:rFonts w:ascii="Times New Roman" w:eastAsia="TimesNewRomanPSMT" w:hAnsi="Times New Roman" w:cs="Times New Roman"/>
        </w:rPr>
        <w:t>Основные геометрические параметры велосипе</w:t>
      </w:r>
      <w:r w:rsidR="001A2982">
        <w:rPr>
          <w:rFonts w:ascii="Times New Roman" w:eastAsia="TimesNewRomanPSMT" w:hAnsi="Times New Roman" w:cs="Times New Roman"/>
        </w:rPr>
        <w:t>дной дорожки.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2126"/>
        <w:gridCol w:w="1986"/>
      </w:tblGrid>
      <w:tr w:rsidR="00496191" w:rsidRPr="00496191" w:rsidTr="00C84E10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496191" w:rsidRPr="00496191" w:rsidTr="00C84E10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496191" w:rsidRPr="00496191" w:rsidRDefault="00496191" w:rsidP="00C84E1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96191" w:rsidRPr="00496191" w:rsidRDefault="00496191" w:rsidP="00C84E1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lang w:eastAsia="en-US"/>
              </w:rPr>
              <w:t>в стесненных условиях</w:t>
            </w:r>
          </w:p>
        </w:tc>
      </w:tr>
      <w:tr w:rsidR="00496191" w:rsidRPr="00496191" w:rsidTr="00C84E10">
        <w:trPr>
          <w:trHeight w:val="345"/>
        </w:trPr>
        <w:tc>
          <w:tcPr>
            <w:tcW w:w="567" w:type="dxa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1</w:t>
            </w: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15</w:t>
            </w:r>
          </w:p>
        </w:tc>
      </w:tr>
      <w:tr w:rsidR="00496191" w:rsidRPr="00496191" w:rsidTr="00C84E10">
        <w:trPr>
          <w:trHeight w:val="345"/>
        </w:trPr>
        <w:tc>
          <w:tcPr>
            <w:tcW w:w="567" w:type="dxa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Ширина проезжей части для движения, м, не менее: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однополосного одностороннего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двухполосного одностороннего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двухполосного со встречным движением</w:t>
            </w:r>
          </w:p>
        </w:tc>
        <w:tc>
          <w:tcPr>
            <w:tcW w:w="2126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1,0-1,5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1,75-2,5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0,75-1,0</w:t>
            </w: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1,50</w:t>
            </w: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2,00</w:t>
            </w:r>
          </w:p>
        </w:tc>
      </w:tr>
      <w:tr w:rsidR="00496191" w:rsidRPr="00496191" w:rsidTr="00C84E10">
        <w:trPr>
          <w:trHeight w:val="345"/>
        </w:trPr>
        <w:tc>
          <w:tcPr>
            <w:tcW w:w="567" w:type="dxa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Ширина велопешеходной дорожки, м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1,5-6,0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1,5-3,0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1,5-3,25</w:t>
            </w: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1,5-2,0</w:t>
            </w: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0,90</w:t>
            </w:r>
          </w:p>
        </w:tc>
      </w:tr>
      <w:tr w:rsidR="00496191" w:rsidRPr="00496191" w:rsidTr="00C84E10">
        <w:trPr>
          <w:trHeight w:val="345"/>
        </w:trPr>
        <w:tc>
          <w:tcPr>
            <w:tcW w:w="567" w:type="dxa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0,5</w:t>
            </w:r>
          </w:p>
        </w:tc>
      </w:tr>
      <w:tr w:rsidR="00496191" w:rsidRPr="00496191" w:rsidTr="00C84E10">
        <w:trPr>
          <w:trHeight w:val="345"/>
        </w:trPr>
        <w:tc>
          <w:tcPr>
            <w:tcW w:w="567" w:type="dxa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Наименьший радиус кривых в плане, м: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при отсутствии виража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30-50</w:t>
            </w:r>
          </w:p>
          <w:p w:rsidR="00496191" w:rsidRPr="00496191" w:rsidRDefault="00496191" w:rsidP="00C84E10">
            <w:pPr>
              <w:tabs>
                <w:tab w:val="left" w:pos="6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15</w:t>
            </w:r>
          </w:p>
          <w:p w:rsidR="00496191" w:rsidRPr="00496191" w:rsidRDefault="00496191" w:rsidP="00C84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96191">
              <w:rPr>
                <w:rFonts w:ascii="Times New Roman" w:hAnsi="Times New Roman" w:cs="Times New Roman"/>
                <w:sz w:val="22"/>
                <w:lang w:eastAsia="en-US"/>
              </w:rPr>
              <w:t>10</w:t>
            </w:r>
          </w:p>
        </w:tc>
      </w:tr>
    </w:tbl>
    <w:p w:rsidR="00496191" w:rsidRPr="00496191" w:rsidRDefault="00496191" w:rsidP="00496191">
      <w:pPr>
        <w:pStyle w:val="23"/>
        <w:shd w:val="clear" w:color="auto" w:fill="auto"/>
        <w:tabs>
          <w:tab w:val="left" w:pos="1039"/>
        </w:tabs>
        <w:spacing w:before="0"/>
        <w:ind w:right="560"/>
        <w:rPr>
          <w:rStyle w:val="24"/>
        </w:rPr>
      </w:pPr>
    </w:p>
    <w:p w:rsidR="00B23604" w:rsidRPr="006F65E7" w:rsidRDefault="003A71B9" w:rsidP="003A71B9">
      <w:pPr>
        <w:pStyle w:val="23"/>
        <w:numPr>
          <w:ilvl w:val="0"/>
          <w:numId w:val="3"/>
        </w:numPr>
        <w:shd w:val="clear" w:color="auto" w:fill="auto"/>
        <w:tabs>
          <w:tab w:val="left" w:pos="1039"/>
        </w:tabs>
        <w:spacing w:before="0"/>
        <w:ind w:right="560"/>
        <w:rPr>
          <w:rStyle w:val="24"/>
        </w:rPr>
      </w:pPr>
      <w:r w:rsidRPr="006F65E7">
        <w:rPr>
          <w:rStyle w:val="24"/>
        </w:rPr>
        <w:t xml:space="preserve">Том </w:t>
      </w:r>
      <w:r w:rsidRPr="006F65E7">
        <w:rPr>
          <w:rStyle w:val="24"/>
          <w:lang w:val="en-US"/>
        </w:rPr>
        <w:t>I</w:t>
      </w:r>
      <w:r w:rsidRPr="006F65E7">
        <w:rPr>
          <w:rStyle w:val="24"/>
        </w:rPr>
        <w:t xml:space="preserve"> «Основная часть», </w:t>
      </w:r>
      <w:r w:rsidR="007B5A7D" w:rsidRPr="006F65E7">
        <w:rPr>
          <w:rStyle w:val="24"/>
        </w:rPr>
        <w:t>часть</w:t>
      </w:r>
      <w:r w:rsidR="007B5A7D" w:rsidRPr="006F65E7">
        <w:rPr>
          <w:rStyle w:val="24"/>
          <w:lang w:val="en-US"/>
        </w:rPr>
        <w:t>I</w:t>
      </w:r>
      <w:r w:rsidR="00496191" w:rsidRPr="006F65E7">
        <w:rPr>
          <w:rStyle w:val="24"/>
          <w:lang w:val="en-US"/>
        </w:rPr>
        <w:t>I</w:t>
      </w:r>
      <w:r w:rsidRPr="006F65E7">
        <w:rPr>
          <w:rStyle w:val="24"/>
        </w:rPr>
        <w:t xml:space="preserve"> «Основная часть», </w:t>
      </w:r>
      <w:r w:rsidR="007B5A7D" w:rsidRPr="006F65E7">
        <w:rPr>
          <w:rStyle w:val="24"/>
        </w:rPr>
        <w:t>раздел</w:t>
      </w:r>
      <w:r w:rsidR="00B23604" w:rsidRPr="006F65E7">
        <w:rPr>
          <w:rStyle w:val="24"/>
        </w:rPr>
        <w:t>3</w:t>
      </w:r>
      <w:r w:rsidRPr="006F65E7">
        <w:rPr>
          <w:rStyle w:val="24"/>
        </w:rPr>
        <w:t xml:space="preserve"> «</w:t>
      </w:r>
      <w:r w:rsidR="00B23604" w:rsidRPr="006F65E7">
        <w:rPr>
          <w:rStyle w:val="24"/>
        </w:rPr>
        <w:t xml:space="preserve">Исходная </w:t>
      </w:r>
    </w:p>
    <w:p w:rsidR="003A71B9" w:rsidRDefault="00B23604" w:rsidP="00B23604">
      <w:pPr>
        <w:pStyle w:val="23"/>
        <w:shd w:val="clear" w:color="auto" w:fill="auto"/>
        <w:tabs>
          <w:tab w:val="left" w:pos="1039"/>
        </w:tabs>
        <w:spacing w:before="0"/>
        <w:ind w:right="560"/>
        <w:rPr>
          <w:rStyle w:val="24"/>
        </w:rPr>
      </w:pPr>
      <w:r w:rsidRPr="006F65E7">
        <w:rPr>
          <w:rStyle w:val="24"/>
        </w:rPr>
        <w:lastRenderedPageBreak/>
        <w:t>информация» подраздел «Нормативно-правовая база»</w:t>
      </w:r>
      <w:r w:rsidR="003A71B9">
        <w:rPr>
          <w:rStyle w:val="24"/>
        </w:rPr>
        <w:t>дополнить следующими пунктами:</w:t>
      </w:r>
    </w:p>
    <w:p w:rsidR="00B23604" w:rsidRDefault="00B23604" w:rsidP="00B23604">
      <w:pPr>
        <w:pStyle w:val="23"/>
        <w:shd w:val="clear" w:color="auto" w:fill="auto"/>
        <w:tabs>
          <w:tab w:val="left" w:pos="964"/>
        </w:tabs>
        <w:spacing w:before="0"/>
        <w:ind w:left="680" w:right="480"/>
        <w:rPr>
          <w:rStyle w:val="24"/>
        </w:rPr>
      </w:pPr>
      <w:r>
        <w:rPr>
          <w:rStyle w:val="24"/>
        </w:rPr>
        <w:t xml:space="preserve">- Сводом правил СП 42.13330.2016 «Градостроительство. Планировка и застройка </w:t>
      </w:r>
    </w:p>
    <w:p w:rsidR="00B23604" w:rsidRDefault="00B23604" w:rsidP="00B23604">
      <w:pPr>
        <w:pStyle w:val="23"/>
        <w:shd w:val="clear" w:color="auto" w:fill="auto"/>
        <w:tabs>
          <w:tab w:val="left" w:pos="964"/>
        </w:tabs>
        <w:spacing w:before="0"/>
        <w:ind w:right="480"/>
      </w:pPr>
      <w:r>
        <w:rPr>
          <w:rStyle w:val="24"/>
        </w:rPr>
        <w:t>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РФ от 30.12.2016 года№ 1034/пр.;</w:t>
      </w:r>
    </w:p>
    <w:p w:rsidR="00B23604" w:rsidRDefault="00B23604" w:rsidP="00B23604">
      <w:pPr>
        <w:pStyle w:val="23"/>
        <w:shd w:val="clear" w:color="auto" w:fill="auto"/>
        <w:tabs>
          <w:tab w:val="left" w:pos="964"/>
        </w:tabs>
        <w:spacing w:before="0"/>
        <w:ind w:right="480"/>
        <w:rPr>
          <w:rStyle w:val="24"/>
        </w:rPr>
      </w:pPr>
      <w:r>
        <w:rPr>
          <w:rStyle w:val="24"/>
        </w:rPr>
        <w:t xml:space="preserve">            - Межгосударственным стандартом ГОСТ 33150-2014 «Дороги автомобильные общего 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</w:t>
      </w:r>
      <w:r w:rsidR="00963ED6">
        <w:rPr>
          <w:rStyle w:val="24"/>
        </w:rPr>
        <w:t>гии от 31.08.2015 года№ 1206-ст.</w:t>
      </w:r>
    </w:p>
    <w:p w:rsidR="00963ED6" w:rsidRDefault="00963ED6" w:rsidP="00963ED6">
      <w:pPr>
        <w:pStyle w:val="23"/>
        <w:tabs>
          <w:tab w:val="left" w:pos="964"/>
        </w:tabs>
        <w:ind w:right="480"/>
        <w:rPr>
          <w:rStyle w:val="24"/>
        </w:rPr>
      </w:pPr>
      <w:r>
        <w:rPr>
          <w:rStyle w:val="24"/>
        </w:rPr>
        <w:t xml:space="preserve">            3</w:t>
      </w:r>
      <w:r w:rsidRPr="00F21C89">
        <w:rPr>
          <w:rStyle w:val="24"/>
        </w:rPr>
        <w:t>.</w:t>
      </w:r>
      <w:r w:rsidRPr="00F21C89">
        <w:rPr>
          <w:rStyle w:val="24"/>
        </w:rPr>
        <w:tab/>
      </w:r>
      <w:r w:rsidRPr="006F65E7">
        <w:rPr>
          <w:rStyle w:val="24"/>
        </w:rPr>
        <w:t>Том I</w:t>
      </w:r>
      <w:r w:rsidRPr="006F65E7">
        <w:rPr>
          <w:rStyle w:val="24"/>
          <w:lang w:val="en-US"/>
        </w:rPr>
        <w:t>I</w:t>
      </w:r>
      <w:r w:rsidRPr="006F65E7">
        <w:rPr>
          <w:rStyle w:val="24"/>
        </w:rPr>
        <w:t xml:space="preserve"> «Материалы по обоснованию</w:t>
      </w:r>
      <w:r w:rsidR="00FF0A28" w:rsidRPr="006F65E7">
        <w:rPr>
          <w:rStyle w:val="24"/>
        </w:rPr>
        <w:t>», часть 1</w:t>
      </w:r>
      <w:r w:rsidR="001A2982" w:rsidRPr="006F65E7">
        <w:rPr>
          <w:rStyle w:val="24"/>
        </w:rPr>
        <w:t xml:space="preserve"> «Материалы по обоснованию</w:t>
      </w:r>
      <w:r w:rsidRPr="006F65E7">
        <w:rPr>
          <w:rStyle w:val="24"/>
        </w:rPr>
        <w:t>», раздела 1 «Обоснование видов объектов местного значения поселения, для которых определяются расчетные показатели» таблицу</w:t>
      </w:r>
      <w:r w:rsidR="007B5A7D" w:rsidRPr="006F65E7">
        <w:rPr>
          <w:rStyle w:val="24"/>
        </w:rPr>
        <w:t xml:space="preserve"> «Перечень объектов местного значения»</w:t>
      </w:r>
      <w:r w:rsidR="007B5A7D" w:rsidRPr="00963ED6">
        <w:rPr>
          <w:rStyle w:val="24"/>
        </w:rPr>
        <w:t xml:space="preserve"> дополнить следующими пунктами:</w:t>
      </w:r>
    </w:p>
    <w:tbl>
      <w:tblPr>
        <w:tblStyle w:val="a7"/>
        <w:tblW w:w="0" w:type="auto"/>
        <w:tblLook w:val="04A0"/>
      </w:tblPr>
      <w:tblGrid>
        <w:gridCol w:w="4733"/>
        <w:gridCol w:w="4733"/>
      </w:tblGrid>
      <w:tr w:rsidR="00963ED6" w:rsidTr="00963ED6">
        <w:trPr>
          <w:trHeight w:val="842"/>
        </w:trPr>
        <w:tc>
          <w:tcPr>
            <w:tcW w:w="4733" w:type="dxa"/>
          </w:tcPr>
          <w:p w:rsidR="00963ED6" w:rsidRPr="00963ED6" w:rsidRDefault="00963ED6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4"/>
              </w:rPr>
            </w:pPr>
            <w:r w:rsidRPr="00963ED6">
              <w:rPr>
                <w:rFonts w:eastAsia="Courier New"/>
                <w:bCs/>
                <w:sz w:val="24"/>
                <w:szCs w:val="24"/>
                <w:lang w:eastAsia="ru-RU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33" w:type="dxa"/>
          </w:tcPr>
          <w:p w:rsidR="00963ED6" w:rsidRPr="00963ED6" w:rsidRDefault="00963ED6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4"/>
              </w:rPr>
            </w:pPr>
            <w:r w:rsidRPr="00963ED6">
              <w:rPr>
                <w:rFonts w:eastAsia="Courier New"/>
                <w:bCs/>
                <w:sz w:val="24"/>
                <w:szCs w:val="24"/>
                <w:lang w:eastAsia="ru-RU"/>
              </w:rPr>
              <w:t>Обоснование включения объекта в перечень</w:t>
            </w:r>
          </w:p>
        </w:tc>
      </w:tr>
      <w:tr w:rsidR="007B5A7D" w:rsidTr="007C5159">
        <w:trPr>
          <w:trHeight w:val="2843"/>
        </w:trPr>
        <w:tc>
          <w:tcPr>
            <w:tcW w:w="4733" w:type="dxa"/>
          </w:tcPr>
          <w:p w:rsidR="007B5A7D" w:rsidRDefault="007B5A7D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5"/>
              </w:rPr>
            </w:pPr>
            <w:r w:rsidRPr="00963ED6">
              <w:rPr>
                <w:rFonts w:eastAsia="Courier New"/>
                <w:bCs/>
                <w:sz w:val="24"/>
                <w:szCs w:val="24"/>
                <w:shd w:val="clear" w:color="auto" w:fill="FFFFFF"/>
                <w:lang w:eastAsia="ru-RU"/>
              </w:rPr>
              <w:t>Велосипедная дорожка</w:t>
            </w:r>
          </w:p>
          <w:p w:rsidR="007B5A7D" w:rsidRDefault="007B5A7D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5"/>
              </w:rPr>
            </w:pPr>
          </w:p>
          <w:p w:rsidR="007B5A7D" w:rsidRPr="00963ED6" w:rsidRDefault="007B5A7D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4"/>
              </w:rPr>
            </w:pPr>
          </w:p>
        </w:tc>
        <w:tc>
          <w:tcPr>
            <w:tcW w:w="4733" w:type="dxa"/>
            <w:vMerge w:val="restart"/>
          </w:tcPr>
          <w:p w:rsidR="007B5A7D" w:rsidRPr="008D1A46" w:rsidRDefault="007B5A7D" w:rsidP="007B5A7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4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Пункт 5 части 1 статьи 14 Федерального закона от 6 октября 2003 года № 131-ФЗ «Об общих </w:t>
            </w:r>
            <w:r w:rsidRPr="008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      </w:r>
          </w:p>
          <w:p w:rsidR="007B5A7D" w:rsidRDefault="007B5A7D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4"/>
              </w:rPr>
            </w:pPr>
          </w:p>
        </w:tc>
      </w:tr>
      <w:tr w:rsidR="007C5159" w:rsidTr="00852632">
        <w:trPr>
          <w:trHeight w:val="2835"/>
        </w:trPr>
        <w:tc>
          <w:tcPr>
            <w:tcW w:w="4733" w:type="dxa"/>
          </w:tcPr>
          <w:p w:rsidR="007C5159" w:rsidRDefault="007C5159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5"/>
                <w:b w:val="0"/>
              </w:rPr>
            </w:pPr>
            <w:r w:rsidRPr="00963ED6">
              <w:rPr>
                <w:rStyle w:val="25"/>
                <w:b w:val="0"/>
              </w:rPr>
              <w:t>Полоса для велосипедистов</w:t>
            </w:r>
          </w:p>
          <w:p w:rsidR="007C5159" w:rsidRDefault="007C5159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5"/>
                <w:b w:val="0"/>
              </w:rPr>
            </w:pPr>
          </w:p>
          <w:p w:rsidR="007C5159" w:rsidRDefault="007C5159"/>
          <w:p w:rsidR="007C5159" w:rsidRPr="00963ED6" w:rsidRDefault="007C5159" w:rsidP="00963ED6">
            <w:pPr>
              <w:pStyle w:val="23"/>
              <w:tabs>
                <w:tab w:val="left" w:pos="964"/>
              </w:tabs>
              <w:ind w:right="480"/>
              <w:rPr>
                <w:rStyle w:val="24"/>
              </w:rPr>
            </w:pPr>
          </w:p>
        </w:tc>
        <w:tc>
          <w:tcPr>
            <w:tcW w:w="4733" w:type="dxa"/>
            <w:vMerge/>
          </w:tcPr>
          <w:p w:rsidR="007C5159" w:rsidRDefault="007C5159" w:rsidP="00963ED6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4"/>
              </w:rPr>
            </w:pPr>
          </w:p>
        </w:tc>
      </w:tr>
    </w:tbl>
    <w:p w:rsidR="00FF0A28" w:rsidRDefault="007B5A7D" w:rsidP="007B5A7D">
      <w:pPr>
        <w:pStyle w:val="23"/>
        <w:numPr>
          <w:ilvl w:val="0"/>
          <w:numId w:val="3"/>
        </w:numPr>
        <w:ind w:left="0" w:right="480" w:firstLine="567"/>
        <w:rPr>
          <w:rStyle w:val="24"/>
        </w:rPr>
      </w:pPr>
      <w:r w:rsidRPr="006F65E7">
        <w:rPr>
          <w:rStyle w:val="24"/>
        </w:rPr>
        <w:t>Том I</w:t>
      </w:r>
      <w:r w:rsidRPr="006F65E7">
        <w:rPr>
          <w:rStyle w:val="24"/>
          <w:lang w:val="en-US"/>
        </w:rPr>
        <w:t>I</w:t>
      </w:r>
      <w:r w:rsidRPr="006F65E7">
        <w:rPr>
          <w:rStyle w:val="24"/>
        </w:rPr>
        <w:t xml:space="preserve"> «Материалы по обоснованию</w:t>
      </w:r>
      <w:r w:rsidR="00FF0A28" w:rsidRPr="006F65E7">
        <w:rPr>
          <w:rStyle w:val="24"/>
        </w:rPr>
        <w:t>», часть 1</w:t>
      </w:r>
      <w:r w:rsidRPr="006F65E7">
        <w:rPr>
          <w:rStyle w:val="24"/>
        </w:rPr>
        <w:t xml:space="preserve"> «Материалы по обоснованию</w:t>
      </w:r>
      <w:r w:rsidR="00FF0A28" w:rsidRPr="006F65E7">
        <w:rPr>
          <w:rStyle w:val="24"/>
        </w:rPr>
        <w:t>», раздела 2«Обоснование расчетных показателей</w:t>
      </w:r>
      <w:r w:rsidRPr="006F65E7">
        <w:rPr>
          <w:rStyle w:val="24"/>
        </w:rPr>
        <w:t>» таблицу</w:t>
      </w:r>
      <w:r w:rsidR="00FF0A28" w:rsidRPr="006F65E7">
        <w:rPr>
          <w:rStyle w:val="24"/>
        </w:rPr>
        <w:t xml:space="preserve"> 2.2«Обоснование расчетных показателей в области автомобильных дорог местного значени</w:t>
      </w:r>
      <w:r w:rsidR="00FF0A28" w:rsidRPr="00F21C89">
        <w:rPr>
          <w:rStyle w:val="24"/>
        </w:rPr>
        <w:t>я</w:t>
      </w:r>
      <w:r w:rsidRPr="00F21C89">
        <w:rPr>
          <w:rStyle w:val="24"/>
        </w:rPr>
        <w:t>»</w:t>
      </w:r>
      <w:r w:rsidRPr="00963ED6">
        <w:rPr>
          <w:rStyle w:val="24"/>
        </w:rPr>
        <w:t xml:space="preserve"> дополнить следующими пунктами</w:t>
      </w:r>
      <w:r w:rsidR="00FF0A28">
        <w:rPr>
          <w:rStyle w:val="24"/>
        </w:rPr>
        <w:t>:</w:t>
      </w:r>
    </w:p>
    <w:tbl>
      <w:tblPr>
        <w:tblStyle w:val="a7"/>
        <w:tblW w:w="0" w:type="auto"/>
        <w:tblLook w:val="04A0"/>
      </w:tblPr>
      <w:tblGrid>
        <w:gridCol w:w="817"/>
        <w:gridCol w:w="2977"/>
        <w:gridCol w:w="2977"/>
        <w:gridCol w:w="2808"/>
      </w:tblGrid>
      <w:tr w:rsidR="00FF0A28" w:rsidRPr="008D1A46" w:rsidTr="00966A51">
        <w:tc>
          <w:tcPr>
            <w:tcW w:w="817" w:type="dxa"/>
          </w:tcPr>
          <w:p w:rsidR="00FF0A28" w:rsidRPr="00FF0A28" w:rsidRDefault="00FF0A28" w:rsidP="00C87A4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F0A28" w:rsidRPr="00FF0A28" w:rsidRDefault="00FF0A28" w:rsidP="00C87A4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F0A2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FF0A28" w:rsidRPr="00FF0A28" w:rsidRDefault="00FF0A28" w:rsidP="00C87A4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F0A2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8" w:type="dxa"/>
          </w:tcPr>
          <w:p w:rsidR="00FF0A28" w:rsidRPr="00FF0A28" w:rsidRDefault="00FF0A28" w:rsidP="00C87A4F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FF0A2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F5727B" w:rsidRPr="008D1A46" w:rsidTr="00F5727B">
        <w:trPr>
          <w:trHeight w:val="1108"/>
        </w:trPr>
        <w:tc>
          <w:tcPr>
            <w:tcW w:w="817" w:type="dxa"/>
            <w:vMerge w:val="restart"/>
          </w:tcPr>
          <w:p w:rsidR="00F5727B" w:rsidRPr="00FF0A28" w:rsidRDefault="00F5727B" w:rsidP="00C87A4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F5727B" w:rsidRDefault="00F5727B" w:rsidP="00FF0A28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5"/>
              </w:rPr>
            </w:pPr>
            <w:r w:rsidRPr="00963ED6">
              <w:rPr>
                <w:rFonts w:eastAsia="Courier New"/>
                <w:bCs/>
                <w:sz w:val="24"/>
                <w:szCs w:val="24"/>
                <w:shd w:val="clear" w:color="auto" w:fill="FFFFFF"/>
                <w:lang w:eastAsia="ru-RU"/>
              </w:rPr>
              <w:t>Велосипедная дорожка</w:t>
            </w:r>
          </w:p>
          <w:p w:rsidR="00F5727B" w:rsidRPr="00FF0A28" w:rsidRDefault="00F5727B" w:rsidP="00C87A4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F5727B" w:rsidRPr="00FF0A28" w:rsidRDefault="00F5727B" w:rsidP="007927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F0A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2808" w:type="dxa"/>
            <w:vMerge w:val="restart"/>
          </w:tcPr>
          <w:p w:rsidR="00F5727B" w:rsidRPr="00FF0A28" w:rsidRDefault="00F5727B" w:rsidP="00C87A4F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FF0A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F5727B" w:rsidRPr="008D1A46" w:rsidTr="00966A51">
        <w:trPr>
          <w:trHeight w:val="1092"/>
        </w:trPr>
        <w:tc>
          <w:tcPr>
            <w:tcW w:w="817" w:type="dxa"/>
            <w:vMerge/>
          </w:tcPr>
          <w:p w:rsidR="00F5727B" w:rsidRDefault="00F5727B" w:rsidP="00C87A4F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977" w:type="dxa"/>
          </w:tcPr>
          <w:p w:rsidR="00F5727B" w:rsidRDefault="00F5727B" w:rsidP="00F5727B">
            <w:pPr>
              <w:pStyle w:val="23"/>
              <w:shd w:val="clear" w:color="auto" w:fill="auto"/>
              <w:tabs>
                <w:tab w:val="left" w:pos="964"/>
              </w:tabs>
              <w:ind w:right="480"/>
              <w:rPr>
                <w:rStyle w:val="25"/>
                <w:b w:val="0"/>
              </w:rPr>
            </w:pPr>
            <w:r w:rsidRPr="00963ED6">
              <w:rPr>
                <w:rStyle w:val="25"/>
                <w:b w:val="0"/>
              </w:rPr>
              <w:t>Полоса для велосипедистов</w:t>
            </w:r>
          </w:p>
          <w:p w:rsidR="00F5727B" w:rsidRPr="00963ED6" w:rsidRDefault="00F5727B" w:rsidP="00C87A4F">
            <w:pPr>
              <w:jc w:val="center"/>
              <w:rPr>
                <w:rFonts w:eastAsia="Courier New"/>
                <w:bCs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F5727B" w:rsidRPr="00FF0A28" w:rsidRDefault="00F5727B" w:rsidP="00C87A4F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808" w:type="dxa"/>
            <w:vMerge/>
          </w:tcPr>
          <w:p w:rsidR="00F5727B" w:rsidRPr="00FF0A28" w:rsidRDefault="00F5727B" w:rsidP="00C87A4F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FF0A28" w:rsidRPr="008D1A46" w:rsidTr="00966A51">
        <w:tc>
          <w:tcPr>
            <w:tcW w:w="817" w:type="dxa"/>
          </w:tcPr>
          <w:p w:rsidR="00FF0A28" w:rsidRPr="00FF0A28" w:rsidRDefault="00FF0A28" w:rsidP="00C87A4F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3"/>
          </w:tcPr>
          <w:p w:rsidR="00966A51" w:rsidRDefault="00966A51" w:rsidP="0096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D7E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авт./сут. ( до 150 авт./час),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31.08.2015 г</w:t>
            </w:r>
          </w:p>
          <w:p w:rsidR="00FF0A28" w:rsidRPr="00966A51" w:rsidRDefault="00FF0A28" w:rsidP="00966A51">
            <w:r w:rsidRPr="00FF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  <w:r w:rsidR="00966A51" w:rsidRPr="00011D7E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F0A28" w:rsidRPr="00FF0A28" w:rsidRDefault="00FF0A28" w:rsidP="00AE6C3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F0A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5727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комплексного развития  систем транспортной инфраструктуры </w:t>
            </w:r>
            <w:r w:rsidR="006F65E7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Бунбуйского </w:t>
            </w:r>
            <w:r w:rsidR="00F5727B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на  </w:t>
            </w:r>
            <w:r w:rsidR="00AE6C34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2018-2028</w:t>
            </w:r>
            <w:r w:rsidR="00F5727B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годы, утвержденная </w:t>
            </w:r>
            <w:r w:rsidR="00AE6C34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Решением Думы </w:t>
            </w:r>
            <w:r w:rsidR="00F5727B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</w:t>
            </w:r>
            <w:r w:rsidR="00AE6C34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26.04.2018</w:t>
            </w:r>
            <w:r w:rsidR="00F5727B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  №</w:t>
            </w:r>
            <w:r w:rsidR="00AE6C34" w:rsidRPr="00AE6C3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</w:tbl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  <w:bookmarkStart w:id="0" w:name="_GoBack"/>
      <w:bookmarkEnd w:id="0"/>
    </w:p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</w:p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</w:p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</w:p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</w:p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</w:p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</w:p>
    <w:p w:rsidR="00966A51" w:rsidRDefault="00966A51" w:rsidP="007B5A7D">
      <w:pPr>
        <w:pStyle w:val="23"/>
        <w:tabs>
          <w:tab w:val="left" w:pos="964"/>
        </w:tabs>
        <w:ind w:right="480"/>
        <w:rPr>
          <w:rStyle w:val="24"/>
        </w:rPr>
      </w:pPr>
    </w:p>
    <w:p w:rsidR="00652812" w:rsidRDefault="00652812" w:rsidP="00FE37FF">
      <w:pPr>
        <w:pStyle w:val="23"/>
        <w:tabs>
          <w:tab w:val="left" w:pos="964"/>
        </w:tabs>
        <w:ind w:right="480"/>
      </w:pPr>
    </w:p>
    <w:p w:rsidR="00652812" w:rsidRPr="00652812" w:rsidRDefault="00652812" w:rsidP="00652812"/>
    <w:p w:rsidR="00652812" w:rsidRPr="00652812" w:rsidRDefault="00652812" w:rsidP="00652812"/>
    <w:p w:rsidR="00652812" w:rsidRPr="00652812" w:rsidRDefault="00652812" w:rsidP="00652812"/>
    <w:p w:rsidR="004C682F" w:rsidRPr="00652812" w:rsidRDefault="004C682F" w:rsidP="00652812">
      <w:pPr>
        <w:sectPr w:rsidR="004C682F" w:rsidRPr="00652812">
          <w:type w:val="continuous"/>
          <w:pgSz w:w="11900" w:h="16840"/>
          <w:pgMar w:top="1111" w:right="397" w:bottom="1110" w:left="1489" w:header="0" w:footer="3" w:gutter="0"/>
          <w:cols w:space="720"/>
          <w:noEndnote/>
          <w:docGrid w:linePitch="360"/>
        </w:sectPr>
      </w:pPr>
    </w:p>
    <w:p w:rsidR="004C682F" w:rsidRDefault="004C682F" w:rsidP="00FE37FF">
      <w:pPr>
        <w:tabs>
          <w:tab w:val="left" w:pos="2448"/>
        </w:tabs>
        <w:rPr>
          <w:sz w:val="2"/>
          <w:szCs w:val="2"/>
        </w:rPr>
      </w:pPr>
    </w:p>
    <w:p w:rsidR="00FE37FF" w:rsidRDefault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FE37FF" w:rsidRPr="00FE37FF" w:rsidRDefault="00FE37FF" w:rsidP="00FE37FF">
      <w:pPr>
        <w:rPr>
          <w:sz w:val="2"/>
          <w:szCs w:val="2"/>
        </w:rPr>
      </w:pPr>
    </w:p>
    <w:p w:rsidR="004C682F" w:rsidRPr="00FE37FF" w:rsidRDefault="004C682F" w:rsidP="00FE37FF">
      <w:pPr>
        <w:tabs>
          <w:tab w:val="left" w:pos="3828"/>
        </w:tabs>
        <w:rPr>
          <w:sz w:val="2"/>
          <w:szCs w:val="2"/>
        </w:rPr>
      </w:pPr>
    </w:p>
    <w:sectPr w:rsidR="004C682F" w:rsidRPr="00FE37FF" w:rsidSect="009F7EF6">
      <w:headerReference w:type="default" r:id="rId7"/>
      <w:pgSz w:w="11900" w:h="16840"/>
      <w:pgMar w:top="1111" w:right="397" w:bottom="1110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D0" w:rsidRDefault="005442D0">
      <w:r>
        <w:separator/>
      </w:r>
    </w:p>
  </w:endnote>
  <w:endnote w:type="continuationSeparator" w:id="1">
    <w:p w:rsidR="005442D0" w:rsidRDefault="0054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D0" w:rsidRDefault="005442D0"/>
  </w:footnote>
  <w:footnote w:type="continuationSeparator" w:id="1">
    <w:p w:rsidR="005442D0" w:rsidRDefault="005442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F" w:rsidRDefault="009F7EF6">
    <w:pPr>
      <w:rPr>
        <w:sz w:val="2"/>
        <w:szCs w:val="2"/>
      </w:rPr>
    </w:pPr>
    <w:r w:rsidRPr="009F7E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32.45pt;margin-top:41.95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6OUqQ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" filled="f" stroked="f">
          <v:textbox style="mso-fit-shape-to-text:t" inset="0,0,0,0">
            <w:txbxContent>
              <w:p w:rsidR="004C682F" w:rsidRDefault="004C682F">
                <w:pPr>
                  <w:pStyle w:val="a5"/>
                  <w:shd w:val="clear" w:color="auto" w:fill="auto"/>
                  <w:spacing w:line="240" w:lineRule="auto"/>
                </w:pPr>
              </w:p>
              <w:p w:rsidR="00FE37FF" w:rsidRDefault="00FE37F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BE2"/>
    <w:multiLevelType w:val="hybridMultilevel"/>
    <w:tmpl w:val="3C0E76FA"/>
    <w:lvl w:ilvl="0" w:tplc="30BE3D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F27E0D"/>
    <w:multiLevelType w:val="hybridMultilevel"/>
    <w:tmpl w:val="EC088DAC"/>
    <w:lvl w:ilvl="0" w:tplc="30BE3D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7322DD3"/>
    <w:multiLevelType w:val="multilevel"/>
    <w:tmpl w:val="4B542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91407"/>
    <w:multiLevelType w:val="multilevel"/>
    <w:tmpl w:val="15C47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C682F"/>
    <w:rsid w:val="00011D7E"/>
    <w:rsid w:val="00077AB7"/>
    <w:rsid w:val="000C4078"/>
    <w:rsid w:val="001A2982"/>
    <w:rsid w:val="001D024A"/>
    <w:rsid w:val="00272456"/>
    <w:rsid w:val="002C21EF"/>
    <w:rsid w:val="003236B3"/>
    <w:rsid w:val="00374B3F"/>
    <w:rsid w:val="003A71B9"/>
    <w:rsid w:val="003E03BF"/>
    <w:rsid w:val="0042356F"/>
    <w:rsid w:val="00496191"/>
    <w:rsid w:val="004C682F"/>
    <w:rsid w:val="004E2515"/>
    <w:rsid w:val="005312B6"/>
    <w:rsid w:val="005442D0"/>
    <w:rsid w:val="005F0B1F"/>
    <w:rsid w:val="00652812"/>
    <w:rsid w:val="006A2622"/>
    <w:rsid w:val="006F61F7"/>
    <w:rsid w:val="006F65E7"/>
    <w:rsid w:val="00757DB5"/>
    <w:rsid w:val="0079276F"/>
    <w:rsid w:val="007B5A7D"/>
    <w:rsid w:val="007C5159"/>
    <w:rsid w:val="007E73CE"/>
    <w:rsid w:val="0083199A"/>
    <w:rsid w:val="00840AE0"/>
    <w:rsid w:val="008F5740"/>
    <w:rsid w:val="008F6B72"/>
    <w:rsid w:val="00963ED6"/>
    <w:rsid w:val="00966A51"/>
    <w:rsid w:val="009F7EF6"/>
    <w:rsid w:val="00A3216D"/>
    <w:rsid w:val="00A9581F"/>
    <w:rsid w:val="00AE6C34"/>
    <w:rsid w:val="00B23604"/>
    <w:rsid w:val="00BF4D90"/>
    <w:rsid w:val="00CF71B9"/>
    <w:rsid w:val="00D05A7F"/>
    <w:rsid w:val="00D63313"/>
    <w:rsid w:val="00DA6FE5"/>
    <w:rsid w:val="00E60444"/>
    <w:rsid w:val="00EB354E"/>
    <w:rsid w:val="00F21C89"/>
    <w:rsid w:val="00F5727B"/>
    <w:rsid w:val="00FE37FF"/>
    <w:rsid w:val="00FF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E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EF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11">
    <w:name w:val="Заголовок №1"/>
    <w:basedOn w:val="1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5pt">
    <w:name w:val="Заголовок №3 + 10;5 pt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5pt-1pt">
    <w:name w:val="Заголовок №3 + 15 pt;Интервал -1 pt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5">
    <w:name w:val="Заголовок №3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05pt0">
    <w:name w:val="Заголовок №3 + 10;5 pt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5pt-1pt0">
    <w:name w:val="Заголовок №3 + 15 pt;Интервал -1 pt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5pt-1pt1">
    <w:name w:val="Заголовок №3 + 15 pt;Интервал -1 pt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6">
    <w:name w:val="Заголовок №3"/>
    <w:basedOn w:val="32"/>
    <w:rsid w:val="009F7E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TimesNewRoman15pt">
    <w:name w:val="Заголовок №3 + Times New Roman;15 pt;Курсив"/>
    <w:basedOn w:val="32"/>
    <w:rsid w:val="009F7E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LucidaSansUnicode14pt">
    <w:name w:val="Заголовок №3 + Lucida Sans Unicode;14 pt;Курсив"/>
    <w:basedOn w:val="32"/>
    <w:rsid w:val="009F7EF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5pt">
    <w:name w:val="Заголовок №3 + 7;5 pt;Курсив"/>
    <w:basedOn w:val="32"/>
    <w:rsid w:val="009F7EF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LucidaSansUnicode14pt0">
    <w:name w:val="Заголовок №3 + Lucida Sans Unicode;14 pt;Курсив"/>
    <w:basedOn w:val="32"/>
    <w:rsid w:val="009F7EF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F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9F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41">
    <w:name w:val="Основной текст (4)"/>
    <w:basedOn w:val="4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9F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F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F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7EF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9F7EF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2"/>
    <w:rsid w:val="009F7E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9F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9F7E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2"/>
    <w:rsid w:val="009F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Колонтитул + 11;5 pt"/>
    <w:basedOn w:val="a4"/>
    <w:rsid w:val="009F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7EF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9F7EF6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9F7EF6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33">
    <w:name w:val="Заголовок №3"/>
    <w:basedOn w:val="a"/>
    <w:link w:val="32"/>
    <w:rsid w:val="009F7EF6"/>
    <w:pPr>
      <w:shd w:val="clear" w:color="auto" w:fill="FFFFFF"/>
      <w:spacing w:before="360" w:after="360" w:line="0" w:lineRule="atLeast"/>
      <w:jc w:val="both"/>
      <w:outlineLvl w:val="2"/>
    </w:pPr>
    <w:rPr>
      <w:rFonts w:ascii="Segoe UI" w:eastAsia="Segoe UI" w:hAnsi="Segoe UI" w:cs="Segoe UI"/>
      <w:sz w:val="18"/>
      <w:szCs w:val="18"/>
    </w:rPr>
  </w:style>
  <w:style w:type="paragraph" w:customStyle="1" w:styleId="23">
    <w:name w:val="Основной текст (2)"/>
    <w:basedOn w:val="a"/>
    <w:link w:val="22"/>
    <w:rsid w:val="009F7EF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F7EF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a5">
    <w:name w:val="Колонтитул"/>
    <w:basedOn w:val="a"/>
    <w:link w:val="a4"/>
    <w:rsid w:val="009F7E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F7EF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rsid w:val="009F7E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B35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61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37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7FF"/>
    <w:rPr>
      <w:color w:val="000000"/>
    </w:rPr>
  </w:style>
  <w:style w:type="paragraph" w:styleId="ab">
    <w:name w:val="footer"/>
    <w:basedOn w:val="a"/>
    <w:link w:val="ac"/>
    <w:uiPriority w:val="99"/>
    <w:unhideWhenUsed/>
    <w:rsid w:val="00FE37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7F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C51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9</cp:revision>
  <cp:lastPrinted>2022-05-06T05:38:00Z</cp:lastPrinted>
  <dcterms:created xsi:type="dcterms:W3CDTF">2022-05-05T01:59:00Z</dcterms:created>
  <dcterms:modified xsi:type="dcterms:W3CDTF">2022-05-20T03:59:00Z</dcterms:modified>
</cp:coreProperties>
</file>